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  <w:sz w:val="28"/>
          <w:szCs w:val="28"/>
        </w:rPr>
      </w:pPr>
      <w:bookmarkStart w:colFirst="0" w:colLast="0" w:name="_gjdgxs" w:id="0"/>
      <w:bookmarkEnd w:id="0"/>
      <w:r w:rsidDel="00000000" w:rsidR="00000000" w:rsidRPr="00000000">
        <w:rPr>
          <w:rFonts w:ascii="Arial" w:cs="Arial" w:eastAsia="Arial" w:hAnsi="Arial"/>
          <w:b w:val="1"/>
          <w:smallCaps w:val="1"/>
          <w:color w:val="000000"/>
          <w:rtl w:val="0"/>
        </w:rPr>
        <w:t xml:space="preserve">SCHEDULE 16 - </w:t>
      </w:r>
      <w:r w:rsidDel="00000000" w:rsidR="00000000" w:rsidRPr="00000000">
        <w:rPr>
          <w:rFonts w:ascii="Arial" w:cs="Arial" w:eastAsia="Arial" w:hAnsi="Arial"/>
          <w:b w:val="1"/>
          <w:smallCaps w:val="1"/>
          <w:rtl w:val="0"/>
        </w:rPr>
        <w:t xml:space="preserve">TENDER R</w:t>
      </w:r>
      <w:r w:rsidDel="00000000" w:rsidR="00000000" w:rsidRPr="00000000">
        <w:rPr>
          <w:rFonts w:ascii="Arial" w:cs="Arial" w:eastAsia="Arial" w:hAnsi="Arial"/>
          <w:b w:val="1"/>
          <w:smallCaps w:val="1"/>
          <w:sz w:val="28"/>
          <w:szCs w:val="28"/>
          <w:rtl w:val="0"/>
        </w:rPr>
        <w:t xml:space="preserve">esponse</w:t>
      </w:r>
    </w:p>
    <w:p w:rsidR="00000000" w:rsidDel="00000000" w:rsidP="00000000" w:rsidRDefault="00000000" w:rsidRPr="00000000" w14:paraId="00000002">
      <w:pPr>
        <w:keepNext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pacing w:after="240" w:line="240" w:lineRule="auto"/>
        <w:jc w:val="center"/>
        <w:rPr>
          <w:rFonts w:ascii="Arial" w:cs="Arial" w:eastAsia="Arial" w:hAnsi="Arial"/>
          <w:b w:val="1"/>
          <w:smallCaps w:val="1"/>
        </w:rPr>
      </w:pPr>
      <w:bookmarkStart w:colFirst="0" w:colLast="0" w:name="_cn2s6g7qwmln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0" w:line="240" w:lineRule="auto"/>
        <w:jc w:val="center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after="0" w:line="240" w:lineRule="auto"/>
        <w:jc w:val="both"/>
        <w:rPr>
          <w:rFonts w:ascii="Times New Roman" w:cs="Times New Roman" w:eastAsia="Times New Roman" w:hAnsi="Times New Roman"/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sectPr>
      <w:headerReference r:id="rId6" w:type="default"/>
      <w:pgSz w:h="16838" w:w="11906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FRAMEWORK AGREEMENT FOR THE SUPPLY OF ENERGY AND ANCILLARY SERVICES</w:t>
    </w:r>
  </w:p>
  <w:p w:rsidR="00000000" w:rsidDel="00000000" w:rsidP="00000000" w:rsidRDefault="00000000" w:rsidRPr="00000000" w14:paraId="00000007">
    <w:pPr>
      <w:tabs>
        <w:tab w:val="center" w:pos="4513"/>
        <w:tab w:val="right" w:pos="9026"/>
      </w:tabs>
      <w:spacing w:after="0" w:line="240" w:lineRule="auto"/>
      <w:rPr>
        <w:rFonts w:ascii="Times New Roman" w:cs="Times New Roman" w:eastAsia="Times New Roman" w:hAnsi="Times New Roman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                                                                                      Lot </w:t>
    </w:r>
    <w:r w:rsidDel="00000000" w:rsidR="00000000" w:rsidRPr="00000000">
      <w:rPr>
        <w:rFonts w:ascii="Arial" w:cs="Arial" w:eastAsia="Arial" w:hAnsi="Arial"/>
        <w:rtl w:val="0"/>
      </w:rPr>
      <w:t xml:space="preserve">3</w:t>
    </w: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</w:t>
    </w:r>
    <w:r w:rsidDel="00000000" w:rsidR="00000000" w:rsidRPr="00000000">
      <w:rPr>
        <w:rFonts w:ascii="Arial" w:cs="Arial" w:eastAsia="Arial" w:hAnsi="Arial"/>
        <w:rtl w:val="0"/>
      </w:rPr>
      <w:t xml:space="preserve">Gas</w:t>
    </w:r>
    <w:r w:rsidDel="00000000" w:rsidR="00000000" w:rsidRPr="00000000">
      <w:rPr>
        <w:rFonts w:ascii="Arial" w:cs="Arial" w:eastAsia="Arial" w:hAnsi="Arial"/>
        <w:color w:val="000000"/>
        <w:rtl w:val="0"/>
      </w:rPr>
      <w:t xml:space="preserve"> – Schedule 16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pos="4513"/>
        <w:tab w:val="right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4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